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D6" w:rsidRDefault="004677D6" w:rsidP="004677D6">
      <w:pPr>
        <w:pStyle w:val="a7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D6" w:rsidRDefault="004677D6" w:rsidP="004677D6">
      <w:pPr>
        <w:pStyle w:val="a7"/>
      </w:pPr>
      <w:r>
        <w:t>АДМИНИСТРАЦИЯ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4677D6" w:rsidRDefault="004677D6" w:rsidP="004677D6">
      <w:pPr>
        <w:jc w:val="center"/>
        <w:rPr>
          <w:b/>
          <w:bCs/>
          <w:sz w:val="28"/>
        </w:rPr>
      </w:pPr>
    </w:p>
    <w:p w:rsidR="004677D6" w:rsidRDefault="004677D6" w:rsidP="004677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677D6" w:rsidRDefault="004677D6" w:rsidP="004677D6">
      <w:pPr>
        <w:rPr>
          <w:sz w:val="28"/>
          <w:szCs w:val="28"/>
        </w:rPr>
      </w:pPr>
    </w:p>
    <w:p w:rsidR="004677D6" w:rsidRDefault="004677D6" w:rsidP="00CF551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402B6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402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402B6">
        <w:rPr>
          <w:sz w:val="28"/>
          <w:szCs w:val="28"/>
        </w:rPr>
        <w:t>9</w:t>
      </w:r>
      <w:r w:rsidR="005641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402B6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</w:t>
      </w:r>
      <w:r w:rsidR="00C1184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№</w:t>
      </w:r>
      <w:r w:rsidR="00D402B6">
        <w:rPr>
          <w:sz w:val="28"/>
          <w:szCs w:val="28"/>
        </w:rPr>
        <w:t>25</w:t>
      </w:r>
    </w:p>
    <w:p w:rsidR="00CF551A" w:rsidRPr="00407DF7" w:rsidRDefault="00CF551A" w:rsidP="00CF551A">
      <w:pPr>
        <w:framePr w:hSpace="180" w:wrap="around" w:vAnchor="text" w:hAnchor="margin" w:xAlign="center" w:y="16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и дополнений в постановление администрации Пашского сельского поселения</w:t>
      </w:r>
      <w:r w:rsidRPr="00CF55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 16.09.2015 года № 144</w:t>
      </w:r>
    </w:p>
    <w:p w:rsidR="004677D6" w:rsidRDefault="004677D6" w:rsidP="004677D6"/>
    <w:p w:rsidR="003A497F" w:rsidRDefault="00D402B6" w:rsidP="003A497F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В соответствии с Федеральным</w:t>
      </w:r>
      <w:r w:rsidR="003A497F">
        <w:rPr>
          <w:rFonts w:eastAsia="Arial"/>
          <w:color w:val="000000"/>
          <w:szCs w:val="28"/>
          <w:lang w:eastAsia="ar-SA"/>
        </w:rPr>
        <w:t>и</w:t>
      </w:r>
      <w:r>
        <w:rPr>
          <w:rFonts w:eastAsia="Arial"/>
          <w:color w:val="000000"/>
          <w:szCs w:val="28"/>
          <w:lang w:eastAsia="ar-SA"/>
        </w:rPr>
        <w:t xml:space="preserve"> закон</w:t>
      </w:r>
      <w:r w:rsidR="003A497F">
        <w:rPr>
          <w:rFonts w:eastAsia="Arial"/>
          <w:color w:val="000000"/>
          <w:szCs w:val="28"/>
          <w:lang w:eastAsia="ar-SA"/>
        </w:rPr>
        <w:t>а</w:t>
      </w:r>
      <w:r>
        <w:rPr>
          <w:rFonts w:eastAsia="Arial"/>
          <w:color w:val="000000"/>
          <w:szCs w:val="28"/>
          <w:lang w:eastAsia="ar-SA"/>
        </w:rPr>
        <w:t>м</w:t>
      </w:r>
      <w:r w:rsidR="003A497F">
        <w:rPr>
          <w:rFonts w:eastAsia="Arial"/>
          <w:color w:val="000000"/>
          <w:szCs w:val="28"/>
          <w:lang w:eastAsia="ar-SA"/>
        </w:rPr>
        <w:t>и</w:t>
      </w:r>
      <w:r>
        <w:rPr>
          <w:rFonts w:eastAsia="Arial"/>
          <w:color w:val="000000"/>
          <w:szCs w:val="28"/>
          <w:lang w:eastAsia="ar-SA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="003A497F">
        <w:rPr>
          <w:rFonts w:eastAsia="Arial"/>
          <w:color w:val="000000"/>
          <w:szCs w:val="28"/>
          <w:lang w:eastAsia="ar-SA"/>
        </w:rPr>
        <w:t xml:space="preserve">, от 10.01.2002 года №7-ФЗ «Об охране окружающей среды», в целях предотвращения распространения борщевика Сосновского на территории Пашского сельского поселения, в связи с уточнением </w:t>
      </w:r>
      <w:r w:rsidR="0096697B">
        <w:rPr>
          <w:rFonts w:eastAsia="Arial"/>
          <w:color w:val="000000"/>
          <w:szCs w:val="28"/>
          <w:lang w:eastAsia="ar-SA"/>
        </w:rPr>
        <w:t>объемов финансирования</w:t>
      </w:r>
      <w:r w:rsidR="00AE6C17">
        <w:rPr>
          <w:rFonts w:eastAsia="Arial"/>
          <w:color w:val="000000"/>
          <w:szCs w:val="28"/>
          <w:lang w:eastAsia="ar-SA"/>
        </w:rPr>
        <w:t xml:space="preserve"> администрация </w:t>
      </w:r>
      <w:r w:rsidR="003A497F">
        <w:rPr>
          <w:rFonts w:eastAsia="Arial"/>
          <w:color w:val="000000"/>
          <w:szCs w:val="28"/>
          <w:lang w:eastAsia="ar-SA"/>
        </w:rPr>
        <w:t xml:space="preserve">муниципального образования </w:t>
      </w:r>
      <w:r w:rsidR="00AE6C17">
        <w:rPr>
          <w:rFonts w:eastAsia="Arial"/>
          <w:color w:val="000000"/>
          <w:szCs w:val="28"/>
          <w:lang w:eastAsia="ar-SA"/>
        </w:rPr>
        <w:t>Пашско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сельско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поселени</w:t>
      </w:r>
      <w:r w:rsidR="003A497F">
        <w:rPr>
          <w:rFonts w:eastAsia="Arial"/>
          <w:color w:val="000000"/>
          <w:szCs w:val="28"/>
          <w:lang w:eastAsia="ar-SA"/>
        </w:rPr>
        <w:t>е</w:t>
      </w:r>
      <w:r w:rsidR="00AE6C17">
        <w:rPr>
          <w:rFonts w:eastAsia="Arial"/>
          <w:color w:val="000000"/>
          <w:szCs w:val="28"/>
          <w:lang w:eastAsia="ar-SA"/>
        </w:rPr>
        <w:t xml:space="preserve"> </w:t>
      </w:r>
    </w:p>
    <w:p w:rsidR="00AE6C17" w:rsidRDefault="00AE6C17" w:rsidP="003A497F">
      <w:pPr>
        <w:pStyle w:val="ac"/>
        <w:ind w:firstLine="709"/>
        <w:jc w:val="center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п о с </w:t>
      </w:r>
      <w:proofErr w:type="gramStart"/>
      <w:r>
        <w:rPr>
          <w:rFonts w:eastAsia="Arial"/>
          <w:color w:val="000000"/>
          <w:szCs w:val="28"/>
          <w:lang w:eastAsia="ar-SA"/>
        </w:rPr>
        <w:t>т</w:t>
      </w:r>
      <w:proofErr w:type="gramEnd"/>
      <w:r>
        <w:rPr>
          <w:rFonts w:eastAsia="Arial"/>
          <w:color w:val="000000"/>
          <w:szCs w:val="28"/>
          <w:lang w:eastAsia="ar-SA"/>
        </w:rPr>
        <w:t xml:space="preserve"> а н о в л я е т:</w:t>
      </w:r>
    </w:p>
    <w:p w:rsidR="00AE6C17" w:rsidRDefault="00AE6C17" w:rsidP="00AE6C17">
      <w:pPr>
        <w:pStyle w:val="ac"/>
        <w:ind w:firstLine="709"/>
        <w:jc w:val="both"/>
      </w:pPr>
      <w:r>
        <w:rPr>
          <w:rFonts w:eastAsia="Arial"/>
          <w:color w:val="000000"/>
          <w:szCs w:val="28"/>
          <w:lang w:eastAsia="ar-SA"/>
        </w:rPr>
        <w:t xml:space="preserve"> 1. Внести в постановление администрации </w:t>
      </w:r>
      <w:r>
        <w:t>Пашского сельского поселения от 16.09.2015 года № 144 «Об утверждении Муниципальной программы «Борьба с борщевиком Сосновского на территории Пашского сельского поселения на 2016-2020 годы» следующие изменения:</w:t>
      </w:r>
    </w:p>
    <w:p w:rsidR="003A497F" w:rsidRDefault="003A497F" w:rsidP="003A497F">
      <w:pPr>
        <w:pStyle w:val="ac"/>
        <w:ind w:firstLine="709"/>
        <w:jc w:val="both"/>
      </w:pPr>
      <w:r>
        <w:t xml:space="preserve">1.1. </w:t>
      </w:r>
      <w:r w:rsidR="00CF551A">
        <w:t>Паспорт</w:t>
      </w:r>
      <w:r>
        <w:t xml:space="preserve"> программ</w:t>
      </w:r>
      <w:r w:rsidR="00CF551A">
        <w:t>ы</w:t>
      </w:r>
      <w:r>
        <w:t xml:space="preserve"> «Борьба с борщевиком Сосновского на территории Пашского сельского поселения на 2016-2020 годы»</w:t>
      </w:r>
      <w:r>
        <w:t xml:space="preserve"> изложить в новой редакции согласно приложению 1.</w:t>
      </w:r>
    </w:p>
    <w:p w:rsidR="000D22E4" w:rsidRDefault="000D22E4" w:rsidP="000D22E4">
      <w:pPr>
        <w:pStyle w:val="ac"/>
        <w:ind w:firstLine="709"/>
        <w:jc w:val="both"/>
      </w:pPr>
      <w:r>
        <w:rPr>
          <w:rFonts w:eastAsia="Arial"/>
          <w:color w:val="000000"/>
          <w:szCs w:val="28"/>
          <w:lang w:eastAsia="ar-SA"/>
        </w:rPr>
        <w:t>1.</w:t>
      </w:r>
      <w:r w:rsidR="003A497F">
        <w:rPr>
          <w:rFonts w:eastAsia="Arial"/>
          <w:color w:val="000000"/>
          <w:szCs w:val="28"/>
          <w:lang w:eastAsia="ar-SA"/>
        </w:rPr>
        <w:t>2</w:t>
      </w:r>
      <w:r>
        <w:rPr>
          <w:rFonts w:eastAsia="Arial"/>
          <w:color w:val="000000"/>
          <w:szCs w:val="28"/>
          <w:lang w:eastAsia="ar-SA"/>
        </w:rPr>
        <w:t xml:space="preserve">. Приложение 1 к программе </w:t>
      </w:r>
      <w:r>
        <w:t>«Борьба с борщевиком Сосновского на территории Пашского сельского поселения на 2016-2020 г</w:t>
      </w:r>
      <w:r w:rsidR="003A497F">
        <w:t>оды» изложить в новой редакции согласно приложению 2</w:t>
      </w:r>
      <w:r>
        <w:t>.</w:t>
      </w:r>
      <w:r w:rsidR="003C78E5">
        <w:t xml:space="preserve"> </w:t>
      </w:r>
    </w:p>
    <w:p w:rsidR="000D22E4" w:rsidRDefault="003C78E5" w:rsidP="000D22E4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t xml:space="preserve">2. Настоящее </w:t>
      </w:r>
      <w:r w:rsidR="000D22E4">
        <w:t>постановление</w:t>
      </w:r>
      <w:r>
        <w:t xml:space="preserve"> подлежит официальному опубликованию в средствах массовой информации и вступает в силу после его официального опубликования.</w:t>
      </w:r>
    </w:p>
    <w:p w:rsidR="000D22E4" w:rsidRPr="000D22E4" w:rsidRDefault="003C78E5" w:rsidP="000D22E4">
      <w:pPr>
        <w:pStyle w:val="ac"/>
        <w:ind w:firstLine="709"/>
        <w:jc w:val="both"/>
        <w:rPr>
          <w:rFonts w:eastAsia="Arial"/>
          <w:color w:val="000000"/>
          <w:szCs w:val="28"/>
          <w:lang w:eastAsia="ar-SA"/>
        </w:rPr>
      </w:pPr>
      <w:r>
        <w:t xml:space="preserve">3. Контроль за исполнением </w:t>
      </w:r>
      <w:r w:rsidR="000D22E4">
        <w:t>постановления оставляю за собой</w:t>
      </w:r>
      <w:r>
        <w:t>.</w:t>
      </w:r>
    </w:p>
    <w:p w:rsidR="000D22E4" w:rsidRPr="00407DF7" w:rsidRDefault="000D22E4" w:rsidP="004677D6">
      <w:pPr>
        <w:ind w:firstLine="720"/>
        <w:jc w:val="both"/>
        <w:rPr>
          <w:sz w:val="28"/>
          <w:szCs w:val="28"/>
        </w:rPr>
      </w:pPr>
    </w:p>
    <w:p w:rsidR="004677D6" w:rsidRDefault="004677D6" w:rsidP="004677D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77D6" w:rsidRDefault="004677D6" w:rsidP="004677D6">
      <w:pPr>
        <w:rPr>
          <w:sz w:val="28"/>
          <w:szCs w:val="28"/>
        </w:rPr>
      </w:pPr>
      <w:r>
        <w:rPr>
          <w:sz w:val="28"/>
          <w:szCs w:val="28"/>
        </w:rPr>
        <w:t>Пашского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ADD">
        <w:rPr>
          <w:sz w:val="28"/>
          <w:szCs w:val="28"/>
        </w:rPr>
        <w:t xml:space="preserve">А.Т. </w:t>
      </w:r>
      <w:proofErr w:type="spellStart"/>
      <w:r w:rsidR="00895ADD">
        <w:rPr>
          <w:sz w:val="28"/>
          <w:szCs w:val="28"/>
        </w:rPr>
        <w:t>Кулиманов</w:t>
      </w:r>
      <w:proofErr w:type="spellEnd"/>
    </w:p>
    <w:p w:rsidR="00CF551A" w:rsidRDefault="00CF551A">
      <w:pPr>
        <w:rPr>
          <w:sz w:val="18"/>
          <w:szCs w:val="18"/>
        </w:rPr>
      </w:pPr>
    </w:p>
    <w:p w:rsidR="00CF551A" w:rsidRDefault="00CF551A">
      <w:pPr>
        <w:rPr>
          <w:sz w:val="18"/>
          <w:szCs w:val="18"/>
        </w:rPr>
      </w:pPr>
    </w:p>
    <w:p w:rsidR="00CF551A" w:rsidRDefault="00CF551A">
      <w:pPr>
        <w:rPr>
          <w:sz w:val="18"/>
          <w:szCs w:val="18"/>
        </w:rPr>
      </w:pPr>
    </w:p>
    <w:p w:rsidR="00CF551A" w:rsidRDefault="00CF551A">
      <w:pPr>
        <w:rPr>
          <w:sz w:val="18"/>
          <w:szCs w:val="18"/>
        </w:rPr>
      </w:pPr>
    </w:p>
    <w:p w:rsidR="00564148" w:rsidRDefault="004677D6">
      <w:pPr>
        <w:rPr>
          <w:sz w:val="18"/>
          <w:szCs w:val="18"/>
        </w:rPr>
      </w:pPr>
      <w:r w:rsidRPr="00121155">
        <w:rPr>
          <w:sz w:val="18"/>
          <w:szCs w:val="18"/>
        </w:rPr>
        <w:t xml:space="preserve">Исп. </w:t>
      </w:r>
      <w:proofErr w:type="spellStart"/>
      <w:r w:rsidRPr="00121155">
        <w:rPr>
          <w:sz w:val="18"/>
          <w:szCs w:val="18"/>
        </w:rPr>
        <w:t>Линёв</w:t>
      </w:r>
      <w:proofErr w:type="spellEnd"/>
      <w:r w:rsidRPr="00121155">
        <w:rPr>
          <w:sz w:val="18"/>
          <w:szCs w:val="18"/>
        </w:rPr>
        <w:t xml:space="preserve"> А.Б</w:t>
      </w:r>
    </w:p>
    <w:p w:rsidR="000D315F" w:rsidRDefault="004677D6">
      <w:pPr>
        <w:rPr>
          <w:sz w:val="18"/>
          <w:szCs w:val="18"/>
        </w:rPr>
      </w:pPr>
      <w:r w:rsidRPr="00121155">
        <w:rPr>
          <w:sz w:val="18"/>
          <w:szCs w:val="18"/>
        </w:rPr>
        <w:t xml:space="preserve"> (81363)41373</w:t>
      </w:r>
    </w:p>
    <w:p w:rsidR="003A497F" w:rsidRDefault="003A497F">
      <w:pPr>
        <w:rPr>
          <w:sz w:val="18"/>
          <w:szCs w:val="18"/>
        </w:rPr>
      </w:pP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3A497F" w:rsidTr="002B79EE">
        <w:trPr>
          <w:tblCellSpacing w:w="0" w:type="dxa"/>
        </w:trPr>
        <w:tc>
          <w:tcPr>
            <w:tcW w:w="4920" w:type="dxa"/>
          </w:tcPr>
          <w:p w:rsidR="003A497F" w:rsidRDefault="003A497F" w:rsidP="00CF551A"/>
        </w:tc>
        <w:tc>
          <w:tcPr>
            <w:tcW w:w="4920" w:type="dxa"/>
          </w:tcPr>
          <w:p w:rsidR="00CF551A" w:rsidRDefault="00CF551A" w:rsidP="00CF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A497F" w:rsidRPr="00CD4087" w:rsidRDefault="00CF551A" w:rsidP="00CF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A497F" w:rsidRPr="00CD408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3A497F" w:rsidRPr="00CD4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3A497F" w:rsidRPr="00CD4087">
              <w:rPr>
                <w:sz w:val="28"/>
                <w:szCs w:val="28"/>
              </w:rPr>
              <w:t>дминистрации</w:t>
            </w:r>
          </w:p>
          <w:p w:rsidR="003A497F" w:rsidRPr="00CD4087" w:rsidRDefault="003A497F" w:rsidP="00CF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Пашского </w:t>
            </w:r>
            <w:r w:rsidRPr="00CD4087">
              <w:rPr>
                <w:sz w:val="28"/>
                <w:szCs w:val="28"/>
              </w:rPr>
              <w:t>сельского поселения</w:t>
            </w:r>
          </w:p>
          <w:p w:rsidR="003A497F" w:rsidRPr="00CD4087" w:rsidRDefault="003A497F" w:rsidP="00CF551A">
            <w:pPr>
              <w:jc w:val="center"/>
              <w:rPr>
                <w:sz w:val="28"/>
                <w:szCs w:val="28"/>
              </w:rPr>
            </w:pPr>
            <w:r w:rsidRPr="00CD40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CF551A">
              <w:rPr>
                <w:sz w:val="28"/>
                <w:szCs w:val="28"/>
              </w:rPr>
              <w:t>5 февраля 2</w:t>
            </w:r>
            <w:r>
              <w:rPr>
                <w:sz w:val="28"/>
                <w:szCs w:val="28"/>
              </w:rPr>
              <w:t>01</w:t>
            </w:r>
            <w:r w:rsidR="00CF551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CF551A">
              <w:rPr>
                <w:sz w:val="28"/>
                <w:szCs w:val="28"/>
              </w:rPr>
              <w:t>ода</w:t>
            </w:r>
            <w:r w:rsidRPr="00CD4087">
              <w:rPr>
                <w:sz w:val="28"/>
                <w:szCs w:val="28"/>
              </w:rPr>
              <w:t xml:space="preserve"> №</w:t>
            </w:r>
            <w:r w:rsidR="00CF551A">
              <w:rPr>
                <w:sz w:val="28"/>
                <w:szCs w:val="28"/>
              </w:rPr>
              <w:t>25</w:t>
            </w:r>
          </w:p>
          <w:p w:rsidR="003A497F" w:rsidRDefault="003A497F" w:rsidP="00CF551A">
            <w:pPr>
              <w:pStyle w:val="af"/>
              <w:spacing w:before="0" w:beforeAutospacing="0" w:after="0" w:afterAutospacing="0"/>
              <w:jc w:val="center"/>
            </w:pPr>
          </w:p>
        </w:tc>
      </w:tr>
    </w:tbl>
    <w:p w:rsidR="003A497F" w:rsidRDefault="00CF551A" w:rsidP="00CF551A">
      <w:pPr>
        <w:pStyle w:val="af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П</w:t>
      </w:r>
      <w:r w:rsidR="003A497F" w:rsidRPr="00CD4087">
        <w:rPr>
          <w:rStyle w:val="ae"/>
          <w:sz w:val="28"/>
          <w:szCs w:val="28"/>
        </w:rPr>
        <w:t>аспорт программы</w:t>
      </w:r>
    </w:p>
    <w:p w:rsidR="00CF551A" w:rsidRDefault="00CF551A" w:rsidP="00CF551A">
      <w:pPr>
        <w:pStyle w:val="af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A497F" w:rsidRPr="007E7E57" w:rsidTr="002B79EE">
        <w:tc>
          <w:tcPr>
            <w:tcW w:w="2628" w:type="dxa"/>
          </w:tcPr>
          <w:p w:rsidR="003A497F" w:rsidRPr="007E7E57" w:rsidRDefault="003A497F" w:rsidP="00CF551A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</w:rPr>
              <w:t> </w:t>
            </w:r>
            <w:r w:rsidRPr="007E7E57">
              <w:rPr>
                <w:b/>
                <w:sz w:val="28"/>
                <w:szCs w:val="28"/>
              </w:rPr>
              <w:t>Наименование</w:t>
            </w:r>
          </w:p>
          <w:p w:rsidR="003A497F" w:rsidRPr="007E7E57" w:rsidRDefault="003A497F" w:rsidP="00CF551A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7E7E57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 xml:space="preserve">Борьба с </w:t>
            </w:r>
            <w:r w:rsidRPr="007E7E57">
              <w:rPr>
                <w:sz w:val="28"/>
                <w:szCs w:val="28"/>
              </w:rPr>
              <w:t>борщевик</w:t>
            </w:r>
            <w:r>
              <w:rPr>
                <w:sz w:val="28"/>
                <w:szCs w:val="28"/>
              </w:rPr>
              <w:t>ом</w:t>
            </w:r>
            <w:r w:rsidRPr="007E7E57">
              <w:rPr>
                <w:sz w:val="28"/>
                <w:szCs w:val="28"/>
              </w:rPr>
              <w:t xml:space="preserve"> Сосновского </w:t>
            </w:r>
            <w:r>
              <w:rPr>
                <w:sz w:val="28"/>
                <w:szCs w:val="28"/>
              </w:rPr>
              <w:t>на территории Пашского сельского поселения</w:t>
            </w:r>
            <w:r w:rsidRPr="007E7E57">
              <w:rPr>
                <w:sz w:val="28"/>
                <w:szCs w:val="28"/>
              </w:rPr>
              <w:t>  на 201</w:t>
            </w:r>
            <w:r>
              <w:rPr>
                <w:sz w:val="28"/>
                <w:szCs w:val="28"/>
              </w:rPr>
              <w:t>6</w:t>
            </w:r>
            <w:r w:rsidRPr="007E7E5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E7E57">
              <w:rPr>
                <w:sz w:val="28"/>
                <w:szCs w:val="28"/>
              </w:rPr>
              <w:t xml:space="preserve"> годы»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CF551A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7E57">
              <w:rPr>
                <w:sz w:val="28"/>
                <w:szCs w:val="28"/>
              </w:rPr>
              <w:t>окращение очагов распространения борщевика Сосновского на территории сельского поселения и улучшение качественного состояния земель путем</w:t>
            </w:r>
            <w:r>
              <w:rPr>
                <w:sz w:val="28"/>
                <w:szCs w:val="28"/>
              </w:rPr>
              <w:t xml:space="preserve"> его локализации и ликвидации. 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Объем и источники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финансирования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Планируемый общий объем финансирования </w:t>
            </w:r>
            <w:proofErr w:type="gramStart"/>
            <w:r w:rsidRPr="007E7E57">
              <w:rPr>
                <w:sz w:val="28"/>
                <w:szCs w:val="28"/>
              </w:rPr>
              <w:t>Программы  из</w:t>
            </w:r>
            <w:proofErr w:type="gramEnd"/>
            <w:r w:rsidRPr="007E7E57">
              <w:rPr>
                <w:sz w:val="28"/>
                <w:szCs w:val="28"/>
              </w:rPr>
              <w:t xml:space="preserve"> местного бюджета составляет: </w:t>
            </w:r>
          </w:p>
          <w:p w:rsidR="003A497F" w:rsidRPr="007E7E57" w:rsidRDefault="00CF551A" w:rsidP="00CF551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1194600</w:t>
            </w:r>
            <w:r w:rsidR="003A497F" w:rsidRPr="007E7E57">
              <w:rPr>
                <w:sz w:val="28"/>
                <w:szCs w:val="28"/>
              </w:rPr>
              <w:t xml:space="preserve"> рублей, в том числе: </w:t>
            </w:r>
          </w:p>
          <w:p w:rsidR="003A497F" w:rsidRPr="007E7E57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E7E57">
              <w:rPr>
                <w:sz w:val="28"/>
                <w:szCs w:val="28"/>
              </w:rPr>
              <w:t xml:space="preserve"> год -</w:t>
            </w:r>
            <w:r w:rsidR="00CF5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CF551A">
              <w:rPr>
                <w:sz w:val="28"/>
                <w:szCs w:val="28"/>
              </w:rPr>
              <w:t>595</w:t>
            </w:r>
            <w:r>
              <w:rPr>
                <w:sz w:val="28"/>
                <w:szCs w:val="28"/>
              </w:rPr>
              <w:t xml:space="preserve">00 </w:t>
            </w:r>
            <w:r w:rsidRPr="007E7E57">
              <w:rPr>
                <w:sz w:val="28"/>
                <w:szCs w:val="28"/>
              </w:rPr>
              <w:t>руб.</w:t>
            </w:r>
          </w:p>
          <w:p w:rsidR="003A497F" w:rsidRPr="007E7E57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E7E57">
              <w:rPr>
                <w:sz w:val="28"/>
                <w:szCs w:val="28"/>
              </w:rPr>
              <w:t xml:space="preserve"> год</w:t>
            </w:r>
            <w:r w:rsidR="00CF551A"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 xml:space="preserve">- </w:t>
            </w:r>
            <w:r w:rsidR="00CF551A">
              <w:rPr>
                <w:sz w:val="28"/>
                <w:szCs w:val="28"/>
              </w:rPr>
              <w:t>305600</w:t>
            </w:r>
            <w:r w:rsidRPr="007E7E57">
              <w:rPr>
                <w:sz w:val="28"/>
                <w:szCs w:val="28"/>
              </w:rPr>
              <w:t xml:space="preserve"> руб.</w:t>
            </w:r>
          </w:p>
          <w:p w:rsidR="003A497F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E7E5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-</w:t>
            </w:r>
            <w:r w:rsidR="00CF551A">
              <w:rPr>
                <w:sz w:val="28"/>
                <w:szCs w:val="28"/>
              </w:rPr>
              <w:t xml:space="preserve"> 1895</w:t>
            </w:r>
            <w:r>
              <w:rPr>
                <w:sz w:val="28"/>
                <w:szCs w:val="28"/>
              </w:rPr>
              <w:t>00</w:t>
            </w:r>
            <w:r w:rsidRPr="007E7E57">
              <w:rPr>
                <w:sz w:val="28"/>
                <w:szCs w:val="28"/>
              </w:rPr>
              <w:t xml:space="preserve"> руб.</w:t>
            </w:r>
          </w:p>
          <w:p w:rsidR="003A497F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E7E57">
              <w:rPr>
                <w:sz w:val="28"/>
                <w:szCs w:val="28"/>
              </w:rPr>
              <w:t xml:space="preserve"> год</w:t>
            </w:r>
            <w:r w:rsidR="00CF551A"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 xml:space="preserve">- </w:t>
            </w:r>
            <w:r w:rsidR="00CF551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0 000 </w:t>
            </w:r>
            <w:r w:rsidRPr="007E7E57">
              <w:rPr>
                <w:sz w:val="28"/>
                <w:szCs w:val="28"/>
              </w:rPr>
              <w:t>руб.</w:t>
            </w:r>
          </w:p>
          <w:p w:rsidR="003A497F" w:rsidRDefault="003A497F" w:rsidP="00CF551A">
            <w:pPr>
              <w:ind w:firstLine="709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E7E57">
              <w:rPr>
                <w:sz w:val="28"/>
                <w:szCs w:val="28"/>
              </w:rPr>
              <w:t xml:space="preserve"> год</w:t>
            </w:r>
            <w:r w:rsidR="00CF551A"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300 000 </w:t>
            </w:r>
            <w:r w:rsidRPr="007E7E57">
              <w:rPr>
                <w:sz w:val="28"/>
                <w:szCs w:val="28"/>
              </w:rPr>
              <w:t>руб.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Источники финансирования: местный бюдже</w:t>
            </w:r>
            <w:r w:rsidR="00CF551A">
              <w:rPr>
                <w:sz w:val="28"/>
                <w:szCs w:val="28"/>
              </w:rPr>
              <w:t xml:space="preserve">т, объем финансирования Программы </w:t>
            </w:r>
            <w:r w:rsidRPr="007E7E57">
              <w:rPr>
                <w:sz w:val="28"/>
                <w:szCs w:val="28"/>
              </w:rPr>
              <w:t xml:space="preserve">корректируется ежегодно после принятия решения о бюджете </w:t>
            </w:r>
            <w:r>
              <w:rPr>
                <w:sz w:val="28"/>
                <w:szCs w:val="28"/>
              </w:rPr>
              <w:t>Пашского</w:t>
            </w:r>
            <w:r w:rsidRPr="007E7E57">
              <w:rPr>
                <w:sz w:val="28"/>
                <w:szCs w:val="28"/>
              </w:rPr>
              <w:t xml:space="preserve"> сельского поселен</w:t>
            </w:r>
            <w:r w:rsidR="00CF551A">
              <w:rPr>
                <w:sz w:val="28"/>
                <w:szCs w:val="28"/>
              </w:rPr>
              <w:t>ия на очередной финансовый год.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эффективности </w:t>
            </w:r>
          </w:p>
          <w:p w:rsidR="003A497F" w:rsidRPr="007E7E57" w:rsidRDefault="003A497F" w:rsidP="002B79EE">
            <w:pPr>
              <w:rPr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1.Уничтожение борщевика на землях населённых пунктов, входящих в состав </w:t>
            </w:r>
            <w:r>
              <w:rPr>
                <w:sz w:val="28"/>
                <w:szCs w:val="28"/>
              </w:rPr>
              <w:t>Пашского</w:t>
            </w:r>
            <w:r w:rsidRPr="007E7E57">
              <w:rPr>
                <w:sz w:val="28"/>
                <w:szCs w:val="28"/>
              </w:rPr>
              <w:t xml:space="preserve"> сельского поселения.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7E57">
              <w:rPr>
                <w:sz w:val="28"/>
                <w:szCs w:val="28"/>
              </w:rPr>
              <w:t xml:space="preserve">Ликвидация угрозы неконтролируемого распространения борщевика на всей территории </w:t>
            </w:r>
            <w:r>
              <w:rPr>
                <w:sz w:val="28"/>
                <w:szCs w:val="28"/>
              </w:rPr>
              <w:t>Пашского</w:t>
            </w:r>
            <w:r w:rsidRPr="007E7E57">
              <w:rPr>
                <w:sz w:val="28"/>
                <w:szCs w:val="28"/>
              </w:rPr>
              <w:t xml:space="preserve"> сельского поселения. 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7E57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3A497F" w:rsidRPr="007E7E57" w:rsidRDefault="003A497F" w:rsidP="002B79EE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3A497F" w:rsidRPr="007E7E57" w:rsidTr="002B79EE">
        <w:tc>
          <w:tcPr>
            <w:tcW w:w="2628" w:type="dxa"/>
          </w:tcPr>
          <w:p w:rsidR="003A497F" w:rsidRDefault="003A497F" w:rsidP="002B7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борщевика Сосновского 6</w:t>
            </w:r>
            <w:r w:rsidR="00CF551A">
              <w:rPr>
                <w:sz w:val="28"/>
                <w:szCs w:val="28"/>
              </w:rPr>
              <w:t>3,4</w:t>
            </w:r>
            <w:r>
              <w:rPr>
                <w:sz w:val="28"/>
                <w:szCs w:val="28"/>
              </w:rPr>
              <w:t xml:space="preserve"> га на территории Пашского сельского поселения 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lastRenderedPageBreak/>
              <w:t>Правовая основа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42" w:type="dxa"/>
          </w:tcPr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 xml:space="preserve">Федеральный закон от 6 октября 2003 года № 131-ФЗ «Об общих   принципах    организации   местного самоуправления в Российской Федерации»; </w:t>
            </w:r>
          </w:p>
          <w:p w:rsidR="003A497F" w:rsidRPr="007E7E57" w:rsidRDefault="003A497F" w:rsidP="00CF551A">
            <w:pPr>
              <w:ind w:firstLine="709"/>
              <w:jc w:val="both"/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Федеральный закон от 10 января 2002 года №7-ФЗ</w:t>
            </w:r>
            <w:r w:rsidR="00CF551A">
              <w:rPr>
                <w:sz w:val="28"/>
                <w:szCs w:val="28"/>
              </w:rPr>
              <w:t>  "Об охране окружающей среды";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Разработчик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3A497F" w:rsidRPr="007E7E57" w:rsidRDefault="003A497F" w:rsidP="00CF551A">
            <w:pPr>
              <w:rPr>
                <w:sz w:val="28"/>
                <w:szCs w:val="28"/>
              </w:rPr>
            </w:pPr>
            <w:r w:rsidRPr="007E7E5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Пашского </w:t>
            </w:r>
            <w:r w:rsidRPr="007E7E57">
              <w:rPr>
                <w:sz w:val="28"/>
                <w:szCs w:val="28"/>
              </w:rPr>
              <w:t>сельского поселения</w:t>
            </w:r>
          </w:p>
        </w:tc>
      </w:tr>
      <w:tr w:rsidR="003A497F" w:rsidRPr="007E7E57" w:rsidTr="002B79EE">
        <w:tc>
          <w:tcPr>
            <w:tcW w:w="2628" w:type="dxa"/>
          </w:tcPr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Сроки реализации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  <w:r w:rsidRPr="007E7E57">
              <w:rPr>
                <w:b/>
                <w:sz w:val="28"/>
                <w:szCs w:val="28"/>
              </w:rPr>
              <w:t>Программы</w:t>
            </w:r>
          </w:p>
          <w:p w:rsidR="003A497F" w:rsidRPr="007E7E57" w:rsidRDefault="003A497F" w:rsidP="002B79EE">
            <w:pPr>
              <w:rPr>
                <w:b/>
                <w:sz w:val="28"/>
                <w:szCs w:val="28"/>
              </w:rPr>
            </w:pPr>
          </w:p>
        </w:tc>
        <w:tc>
          <w:tcPr>
            <w:tcW w:w="6942" w:type="dxa"/>
          </w:tcPr>
          <w:p w:rsidR="003A497F" w:rsidRPr="007E7E57" w:rsidRDefault="003A497F" w:rsidP="00CF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E7E5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E7E57">
              <w:rPr>
                <w:sz w:val="28"/>
                <w:szCs w:val="28"/>
              </w:rPr>
              <w:t xml:space="preserve"> годы</w:t>
            </w:r>
          </w:p>
          <w:p w:rsidR="003A497F" w:rsidRPr="007E7E57" w:rsidRDefault="003A497F" w:rsidP="002B79EE">
            <w:pPr>
              <w:ind w:right="105"/>
              <w:rPr>
                <w:sz w:val="28"/>
                <w:szCs w:val="28"/>
              </w:rPr>
            </w:pPr>
          </w:p>
        </w:tc>
      </w:tr>
    </w:tbl>
    <w:p w:rsidR="003A497F" w:rsidRPr="00727BAF" w:rsidRDefault="003A497F" w:rsidP="003A497F">
      <w:pPr>
        <w:pStyle w:val="af"/>
        <w:jc w:val="center"/>
        <w:rPr>
          <w:sz w:val="28"/>
          <w:szCs w:val="28"/>
        </w:rPr>
      </w:pPr>
      <w:r w:rsidRPr="00727BAF">
        <w:rPr>
          <w:rStyle w:val="ae"/>
          <w:sz w:val="28"/>
          <w:szCs w:val="28"/>
        </w:rPr>
        <w:t>Раздел 2. Общие положения и обоснование Программы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727BAF">
        <w:rPr>
          <w:sz w:val="28"/>
          <w:szCs w:val="28"/>
        </w:rPr>
        <w:t>        1</w:t>
      </w:r>
      <w:r w:rsidRPr="00727BAF">
        <w:rPr>
          <w:i/>
          <w:sz w:val="28"/>
          <w:szCs w:val="28"/>
        </w:rPr>
        <w:t>. Анализ ситуации. Цели и задачи Программы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727BAF">
        <w:rPr>
          <w:sz w:val="28"/>
          <w:szCs w:val="28"/>
        </w:rPr>
        <w:t>фурокумарины</w:t>
      </w:r>
      <w:proofErr w:type="spellEnd"/>
      <w:r w:rsidRPr="00727BAF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727BAF">
        <w:rPr>
          <w:sz w:val="28"/>
          <w:szCs w:val="28"/>
        </w:rPr>
        <w:t>фитоэкстрогены</w:t>
      </w:r>
      <w:proofErr w:type="spellEnd"/>
      <w:r w:rsidRPr="00727BAF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3A497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В последние годы борщевик перемещается на 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A497F" w:rsidRPr="00727BAF" w:rsidRDefault="003A497F" w:rsidP="003A497F">
      <w:pPr>
        <w:jc w:val="both"/>
        <w:rPr>
          <w:rStyle w:val="ae"/>
          <w:sz w:val="28"/>
          <w:szCs w:val="28"/>
        </w:rPr>
      </w:pPr>
      <w:r w:rsidRPr="00727BAF">
        <w:rPr>
          <w:sz w:val="28"/>
          <w:szCs w:val="28"/>
        </w:rPr>
        <w:lastRenderedPageBreak/>
        <w:t xml:space="preserve">В результате реализации Программы планируется </w:t>
      </w:r>
      <w:r>
        <w:rPr>
          <w:sz w:val="28"/>
          <w:szCs w:val="28"/>
        </w:rPr>
        <w:t>освободить от борщевика Сосновского 6</w:t>
      </w:r>
      <w:r w:rsidRPr="00BB2AB8">
        <w:rPr>
          <w:sz w:val="28"/>
          <w:szCs w:val="28"/>
        </w:rPr>
        <w:t xml:space="preserve"> га</w:t>
      </w:r>
      <w:r w:rsidRPr="00727BAF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Пашского сельского поселения</w:t>
      </w:r>
      <w:r w:rsidRPr="00727BAF">
        <w:rPr>
          <w:sz w:val="28"/>
          <w:szCs w:val="28"/>
        </w:rPr>
        <w:t>.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7BAF">
        <w:rPr>
          <w:sz w:val="28"/>
          <w:szCs w:val="28"/>
        </w:rPr>
        <w:t xml:space="preserve">Мероприятия по реализации Программы предусматривают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механический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 xml:space="preserve">- многократное скашивание (не менее 3 раз за сезон), начиная с фазы розетки и до начала </w:t>
      </w:r>
      <w:proofErr w:type="spellStart"/>
      <w:r w:rsidRPr="00727BAF">
        <w:rPr>
          <w:sz w:val="28"/>
          <w:szCs w:val="28"/>
        </w:rPr>
        <w:t>бутонизации</w:t>
      </w:r>
      <w:proofErr w:type="spellEnd"/>
      <w:r w:rsidRPr="00727BAF">
        <w:rPr>
          <w:sz w:val="28"/>
          <w:szCs w:val="28"/>
        </w:rPr>
        <w:t xml:space="preserve">;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BAF">
        <w:rPr>
          <w:sz w:val="28"/>
          <w:szCs w:val="28"/>
        </w:rPr>
        <w:t>химический метод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- применение гербицидов сплошного действия на заросших участках 2 раза</w:t>
      </w:r>
      <w:r>
        <w:rPr>
          <w:sz w:val="28"/>
          <w:szCs w:val="28"/>
        </w:rPr>
        <w:t xml:space="preserve">, 1-й раз - </w:t>
      </w:r>
      <w:r w:rsidRPr="00727BAF">
        <w:rPr>
          <w:sz w:val="28"/>
          <w:szCs w:val="28"/>
        </w:rPr>
        <w:t>май,</w:t>
      </w:r>
      <w:r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>июнь</w:t>
      </w:r>
      <w:r>
        <w:rPr>
          <w:sz w:val="28"/>
          <w:szCs w:val="28"/>
        </w:rPr>
        <w:t>, 2-й раз - август, сентябрь.</w:t>
      </w:r>
      <w:r w:rsidRPr="00727BAF">
        <w:rPr>
          <w:sz w:val="28"/>
          <w:szCs w:val="28"/>
        </w:rPr>
        <w:t xml:space="preserve"> </w:t>
      </w:r>
    </w:p>
    <w:p w:rsidR="003A497F" w:rsidRDefault="003A497F" w:rsidP="003A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761314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61314" w:rsidSect="00CF551A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27BAF">
        <w:rPr>
          <w:sz w:val="28"/>
          <w:szCs w:val="28"/>
        </w:rPr>
        <w:t xml:space="preserve">Общий контроль за реализацией мероприятий Программы осуществляет Глава </w:t>
      </w:r>
      <w:r>
        <w:rPr>
          <w:sz w:val="28"/>
          <w:szCs w:val="28"/>
        </w:rPr>
        <w:t xml:space="preserve">администрации </w:t>
      </w:r>
      <w:r w:rsidRPr="00727BAF">
        <w:rPr>
          <w:sz w:val="28"/>
          <w:szCs w:val="28"/>
        </w:rPr>
        <w:t xml:space="preserve">сельского поселения. </w:t>
      </w:r>
      <w:r w:rsidRPr="006B568E">
        <w:rPr>
          <w:sz w:val="28"/>
          <w:szCs w:val="28"/>
        </w:rPr>
        <w:t>Оценка эффективности проведенного комплекса мероприятий Программы осуществляется на основании контрактов, заключенных со специализированной организацией, имеющей право на выполнение данного вида работ</w:t>
      </w:r>
      <w:r w:rsidRPr="00B00C53">
        <w:rPr>
          <w:sz w:val="28"/>
          <w:szCs w:val="28"/>
        </w:rPr>
        <w:t xml:space="preserve"> и проводится после завершения каждого этапа химической обработки. </w:t>
      </w:r>
      <w:r w:rsidRPr="00727BAF">
        <w:rPr>
          <w:sz w:val="28"/>
          <w:szCs w:val="28"/>
        </w:rPr>
        <w:t>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3A497F" w:rsidRPr="00727BAF" w:rsidRDefault="003A497F" w:rsidP="003A4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5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848"/>
        <w:gridCol w:w="4875"/>
      </w:tblGrid>
      <w:tr w:rsidR="00A02D51" w:rsidTr="00882CEB">
        <w:trPr>
          <w:tblCellSpacing w:w="0" w:type="dxa"/>
        </w:trPr>
        <w:tc>
          <w:tcPr>
            <w:tcW w:w="4847" w:type="dxa"/>
          </w:tcPr>
          <w:p w:rsidR="00A02D51" w:rsidRDefault="00A02D51" w:rsidP="002B79EE"/>
        </w:tc>
        <w:tc>
          <w:tcPr>
            <w:tcW w:w="4848" w:type="dxa"/>
          </w:tcPr>
          <w:p w:rsidR="00A02D51" w:rsidRDefault="00A02D51" w:rsidP="002B7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02D51" w:rsidRDefault="00A02D51" w:rsidP="002B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02D51" w:rsidRPr="00CD4087" w:rsidRDefault="00A02D51" w:rsidP="002B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D408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CD4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CD4087">
              <w:rPr>
                <w:sz w:val="28"/>
                <w:szCs w:val="28"/>
              </w:rPr>
              <w:t>дминистрации</w:t>
            </w:r>
          </w:p>
          <w:p w:rsidR="00A02D51" w:rsidRPr="00CD4087" w:rsidRDefault="00A02D51" w:rsidP="002B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Пашского </w:t>
            </w:r>
            <w:r w:rsidRPr="00CD4087">
              <w:rPr>
                <w:sz w:val="28"/>
                <w:szCs w:val="28"/>
              </w:rPr>
              <w:t>сельского поселения</w:t>
            </w:r>
          </w:p>
          <w:p w:rsidR="00A02D51" w:rsidRPr="00CD4087" w:rsidRDefault="00A02D51" w:rsidP="002B79EE">
            <w:pPr>
              <w:jc w:val="center"/>
              <w:rPr>
                <w:sz w:val="28"/>
                <w:szCs w:val="28"/>
              </w:rPr>
            </w:pPr>
            <w:r w:rsidRPr="00CD40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февраля 2019 года</w:t>
            </w:r>
            <w:r w:rsidRPr="00CD40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25</w:t>
            </w:r>
          </w:p>
          <w:p w:rsidR="00A02D51" w:rsidRDefault="00A02D51" w:rsidP="002B79EE">
            <w:pPr>
              <w:pStyle w:val="af"/>
              <w:spacing w:before="0" w:beforeAutospacing="0" w:after="0" w:afterAutospacing="0"/>
              <w:jc w:val="center"/>
            </w:pPr>
          </w:p>
        </w:tc>
      </w:tr>
      <w:tr w:rsidR="00882CEB" w:rsidTr="00882CEB">
        <w:trPr>
          <w:tblCellSpacing w:w="0" w:type="dxa"/>
        </w:trPr>
        <w:tc>
          <w:tcPr>
            <w:tcW w:w="4847" w:type="dxa"/>
          </w:tcPr>
          <w:p w:rsidR="00882CEB" w:rsidRDefault="00882CEB" w:rsidP="002B79EE"/>
        </w:tc>
        <w:tc>
          <w:tcPr>
            <w:tcW w:w="4848" w:type="dxa"/>
          </w:tcPr>
          <w:p w:rsidR="00882CEB" w:rsidRDefault="00882CEB" w:rsidP="002B7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882CEB" w:rsidRDefault="00882CEB" w:rsidP="002B79EE">
            <w:pPr>
              <w:jc w:val="center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Приложение 1 </w:t>
            </w:r>
          </w:p>
          <w:p w:rsidR="00882CEB" w:rsidRPr="00882CEB" w:rsidRDefault="00882CEB" w:rsidP="002B79EE">
            <w:pPr>
              <w:jc w:val="center"/>
              <w:rPr>
                <w:sz w:val="28"/>
                <w:szCs w:val="28"/>
              </w:rPr>
            </w:pPr>
            <w:r w:rsidRPr="00882CE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к программе </w:t>
            </w:r>
            <w:r w:rsidRPr="00882CEB">
              <w:rPr>
                <w:sz w:val="28"/>
                <w:szCs w:val="28"/>
              </w:rPr>
              <w:t>«Борьба с борщевиком Сосновского на территории Пашского сельского поселения на 2016-2020 годы</w:t>
            </w:r>
          </w:p>
        </w:tc>
      </w:tr>
    </w:tbl>
    <w:p w:rsidR="00882CEB" w:rsidRDefault="00882CEB" w:rsidP="00761314">
      <w:pPr>
        <w:jc w:val="center"/>
        <w:rPr>
          <w:b/>
          <w:sz w:val="28"/>
          <w:szCs w:val="28"/>
        </w:rPr>
      </w:pPr>
    </w:p>
    <w:p w:rsidR="00761314" w:rsidRDefault="00761314" w:rsidP="0076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Программы</w:t>
      </w:r>
    </w:p>
    <w:p w:rsidR="00761314" w:rsidRPr="0064138B" w:rsidRDefault="00761314" w:rsidP="00761314">
      <w:pPr>
        <w:jc w:val="center"/>
        <w:rPr>
          <w:b/>
          <w:sz w:val="16"/>
          <w:szCs w:val="16"/>
        </w:rPr>
      </w:pPr>
    </w:p>
    <w:tbl>
      <w:tblPr>
        <w:tblW w:w="145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5797"/>
        <w:gridCol w:w="1145"/>
        <w:gridCol w:w="1602"/>
        <w:gridCol w:w="1207"/>
        <w:gridCol w:w="993"/>
        <w:gridCol w:w="850"/>
        <w:gridCol w:w="851"/>
        <w:gridCol w:w="850"/>
        <w:gridCol w:w="851"/>
      </w:tblGrid>
      <w:tr w:rsidR="00761314" w:rsidRPr="00C343CD" w:rsidTr="002A2715">
        <w:trPr>
          <w:tblCellSpacing w:w="0" w:type="dxa"/>
        </w:trPr>
        <w:tc>
          <w:tcPr>
            <w:tcW w:w="421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№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п/п</w:t>
            </w:r>
          </w:p>
        </w:tc>
        <w:tc>
          <w:tcPr>
            <w:tcW w:w="5797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Срок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Источник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proofErr w:type="spellStart"/>
            <w:r w:rsidRPr="00C343CD">
              <w:rPr>
                <w:sz w:val="26"/>
                <w:szCs w:val="26"/>
              </w:rPr>
              <w:t>финанси-рования</w:t>
            </w:r>
            <w:proofErr w:type="spellEnd"/>
          </w:p>
        </w:tc>
        <w:tc>
          <w:tcPr>
            <w:tcW w:w="5602" w:type="dxa"/>
            <w:gridSpan w:val="6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Объем финансирования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 годам, тыс. руб.</w:t>
            </w:r>
          </w:p>
        </w:tc>
      </w:tr>
      <w:tr w:rsidR="00761314" w:rsidRPr="00C343CD" w:rsidTr="002A2715">
        <w:trPr>
          <w:tblCellSpacing w:w="0" w:type="dxa"/>
        </w:trPr>
        <w:tc>
          <w:tcPr>
            <w:tcW w:w="421" w:type="dxa"/>
            <w:vMerge/>
            <w:vAlign w:val="center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7" w:type="dxa"/>
            <w:vMerge/>
            <w:vAlign w:val="center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vMerge/>
            <w:vAlign w:val="center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  <w:vAlign w:val="center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2020</w:t>
            </w:r>
          </w:p>
        </w:tc>
      </w:tr>
      <w:tr w:rsidR="00761314" w:rsidRPr="00C343CD" w:rsidTr="002A2715">
        <w:trPr>
          <w:tblCellSpacing w:w="0" w:type="dxa"/>
        </w:trPr>
        <w:tc>
          <w:tcPr>
            <w:tcW w:w="42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</w:t>
            </w:r>
          </w:p>
        </w:tc>
        <w:tc>
          <w:tcPr>
            <w:tcW w:w="5797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</w:t>
            </w:r>
          </w:p>
        </w:tc>
        <w:tc>
          <w:tcPr>
            <w:tcW w:w="1145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4</w:t>
            </w:r>
          </w:p>
        </w:tc>
        <w:tc>
          <w:tcPr>
            <w:tcW w:w="1207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10</w:t>
            </w:r>
          </w:p>
        </w:tc>
      </w:tr>
      <w:tr w:rsidR="00761314" w:rsidRPr="00C343CD" w:rsidTr="002A2715">
        <w:trPr>
          <w:trHeight w:val="1105"/>
          <w:tblCellSpacing w:w="0" w:type="dxa"/>
        </w:trPr>
        <w:tc>
          <w:tcPr>
            <w:tcW w:w="42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1.</w:t>
            </w:r>
          </w:p>
        </w:tc>
        <w:tc>
          <w:tcPr>
            <w:tcW w:w="5797" w:type="dxa"/>
          </w:tcPr>
          <w:p w:rsidR="00761314" w:rsidRPr="00C343CD" w:rsidRDefault="00761314" w:rsidP="002A2715">
            <w:pPr>
              <w:jc w:val="both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602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761314" w:rsidRPr="00C343CD" w:rsidRDefault="002A2715" w:rsidP="002A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207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61314" w:rsidRPr="00C343CD" w:rsidTr="002A2715">
        <w:trPr>
          <w:trHeight w:val="1034"/>
          <w:tblCellSpacing w:w="0" w:type="dxa"/>
        </w:trPr>
        <w:tc>
          <w:tcPr>
            <w:tcW w:w="421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2.</w:t>
            </w:r>
          </w:p>
        </w:tc>
        <w:tc>
          <w:tcPr>
            <w:tcW w:w="5797" w:type="dxa"/>
          </w:tcPr>
          <w:p w:rsidR="00761314" w:rsidRPr="00C343CD" w:rsidRDefault="00761314" w:rsidP="002A2715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Мероприятия по уничтожению борщевика:</w:t>
            </w:r>
          </w:p>
          <w:p w:rsidR="00761314" w:rsidRPr="00C343CD" w:rsidRDefault="00761314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Механический метод</w:t>
            </w:r>
            <w:r w:rsidRPr="00C343CD">
              <w:rPr>
                <w:sz w:val="26"/>
                <w:szCs w:val="26"/>
              </w:rPr>
              <w:t xml:space="preserve"> -  многократное скашивание (не менее 3 раз за сезон), начиная с фазы р</w:t>
            </w:r>
            <w:r w:rsidR="002A2715">
              <w:rPr>
                <w:sz w:val="26"/>
                <w:szCs w:val="26"/>
              </w:rPr>
              <w:t xml:space="preserve">озетки и до начала </w:t>
            </w:r>
            <w:proofErr w:type="spellStart"/>
            <w:r w:rsidR="002A2715">
              <w:rPr>
                <w:sz w:val="26"/>
                <w:szCs w:val="26"/>
              </w:rPr>
              <w:t>бутонизации</w:t>
            </w:r>
            <w:proofErr w:type="spellEnd"/>
            <w:r w:rsidR="002A2715">
              <w:rPr>
                <w:sz w:val="26"/>
                <w:szCs w:val="26"/>
              </w:rPr>
              <w:t>.</w:t>
            </w:r>
          </w:p>
        </w:tc>
        <w:tc>
          <w:tcPr>
            <w:tcW w:w="1145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602" w:type="dxa"/>
            <w:vMerge w:val="restart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поселения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61314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2A271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2A271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61314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2A271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2A2715" w:rsidP="002A27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</w:tcPr>
          <w:p w:rsidR="00761314" w:rsidRDefault="00761314" w:rsidP="00B5321D">
            <w:pPr>
              <w:tabs>
                <w:tab w:val="left" w:pos="293"/>
                <w:tab w:val="center" w:pos="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761314" w:rsidRPr="00C343CD" w:rsidRDefault="00761314" w:rsidP="002A2715">
            <w:pPr>
              <w:tabs>
                <w:tab w:val="left" w:pos="293"/>
                <w:tab w:val="center" w:pos="46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  <w:p w:rsidR="00761314" w:rsidRPr="00C343CD" w:rsidRDefault="00761314" w:rsidP="002A2715">
            <w:pPr>
              <w:rPr>
                <w:sz w:val="26"/>
                <w:szCs w:val="26"/>
              </w:rPr>
            </w:pPr>
          </w:p>
        </w:tc>
      </w:tr>
      <w:tr w:rsidR="00761314" w:rsidRPr="00C343CD" w:rsidTr="002A2715">
        <w:trPr>
          <w:trHeight w:val="1050"/>
          <w:tblCellSpacing w:w="0" w:type="dxa"/>
        </w:trPr>
        <w:tc>
          <w:tcPr>
            <w:tcW w:w="421" w:type="dxa"/>
            <w:vMerge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97" w:type="dxa"/>
          </w:tcPr>
          <w:p w:rsidR="00761314" w:rsidRPr="00C343CD" w:rsidRDefault="00761314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  <w:u w:val="single"/>
              </w:rPr>
              <w:t>Химический метод</w:t>
            </w:r>
            <w:r w:rsidRPr="00C343CD">
              <w:rPr>
                <w:sz w:val="26"/>
                <w:szCs w:val="26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vMerge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Merge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61314" w:rsidRPr="00C343CD" w:rsidRDefault="00A02D51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1194,6</w:t>
            </w:r>
          </w:p>
        </w:tc>
        <w:tc>
          <w:tcPr>
            <w:tcW w:w="993" w:type="dxa"/>
          </w:tcPr>
          <w:p w:rsidR="00761314" w:rsidRPr="00C343CD" w:rsidRDefault="00A02D51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159,5</w:t>
            </w:r>
          </w:p>
        </w:tc>
        <w:tc>
          <w:tcPr>
            <w:tcW w:w="850" w:type="dxa"/>
          </w:tcPr>
          <w:p w:rsidR="00761314" w:rsidRPr="00C343CD" w:rsidRDefault="00A02D51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305,6</w:t>
            </w:r>
          </w:p>
        </w:tc>
        <w:tc>
          <w:tcPr>
            <w:tcW w:w="851" w:type="dxa"/>
          </w:tcPr>
          <w:p w:rsidR="00761314" w:rsidRPr="00C343CD" w:rsidRDefault="00A02D51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189,5</w:t>
            </w:r>
          </w:p>
        </w:tc>
        <w:tc>
          <w:tcPr>
            <w:tcW w:w="850" w:type="dxa"/>
          </w:tcPr>
          <w:p w:rsidR="00761314" w:rsidRPr="00C343CD" w:rsidRDefault="00A02D51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A02D51">
              <w:rPr>
                <w:sz w:val="26"/>
                <w:szCs w:val="26"/>
              </w:rPr>
              <w:t>,0</w:t>
            </w:r>
          </w:p>
        </w:tc>
      </w:tr>
      <w:tr w:rsidR="00761314" w:rsidRPr="00C343CD" w:rsidTr="002A2715">
        <w:trPr>
          <w:trHeight w:val="844"/>
          <w:tblCellSpacing w:w="0" w:type="dxa"/>
        </w:trPr>
        <w:tc>
          <w:tcPr>
            <w:tcW w:w="42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3.</w:t>
            </w:r>
          </w:p>
        </w:tc>
        <w:tc>
          <w:tcPr>
            <w:tcW w:w="5797" w:type="dxa"/>
          </w:tcPr>
          <w:p w:rsidR="00761314" w:rsidRPr="00C343CD" w:rsidRDefault="00761314" w:rsidP="00B5321D">
            <w:pPr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2016-2020</w:t>
            </w:r>
          </w:p>
        </w:tc>
        <w:tc>
          <w:tcPr>
            <w:tcW w:w="1602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Бюджет</w:t>
            </w:r>
          </w:p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 w:rsidRPr="00C343CD">
              <w:rPr>
                <w:sz w:val="26"/>
                <w:szCs w:val="26"/>
              </w:rPr>
              <w:t>сельского</w:t>
            </w:r>
          </w:p>
          <w:p w:rsidR="00761314" w:rsidRPr="00C343CD" w:rsidRDefault="002A2715" w:rsidP="002A2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1207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A02D51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2D5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tabs>
                <w:tab w:val="left" w:pos="285"/>
                <w:tab w:val="center" w:pos="43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30</w:t>
            </w:r>
            <w:r w:rsidR="00A02D5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2D51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2D51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761314" w:rsidRPr="00C343CD" w:rsidRDefault="00761314" w:rsidP="00B53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02D51">
              <w:rPr>
                <w:sz w:val="26"/>
                <w:szCs w:val="26"/>
              </w:rPr>
              <w:t>,0</w:t>
            </w:r>
          </w:p>
        </w:tc>
      </w:tr>
    </w:tbl>
    <w:p w:rsidR="00761314" w:rsidRDefault="00761314" w:rsidP="00761314">
      <w:pPr>
        <w:autoSpaceDE w:val="0"/>
        <w:autoSpaceDN w:val="0"/>
        <w:adjustRightInd w:val="0"/>
        <w:jc w:val="center"/>
        <w:rPr>
          <w:color w:val="FF0000"/>
        </w:rPr>
      </w:pPr>
    </w:p>
    <w:p w:rsidR="002A2715" w:rsidRDefault="002A2715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4" w:rsidRDefault="00761314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D63">
        <w:rPr>
          <w:sz w:val="28"/>
          <w:szCs w:val="28"/>
        </w:rPr>
        <w:t xml:space="preserve">Основные целевые индикаторы </w:t>
      </w:r>
      <w:r>
        <w:rPr>
          <w:sz w:val="28"/>
          <w:szCs w:val="28"/>
        </w:rPr>
        <w:t xml:space="preserve">реализации </w:t>
      </w:r>
      <w:r w:rsidRPr="00CF0D63">
        <w:rPr>
          <w:sz w:val="28"/>
          <w:szCs w:val="28"/>
        </w:rPr>
        <w:t>программы</w:t>
      </w:r>
    </w:p>
    <w:p w:rsidR="00A02D51" w:rsidRDefault="00A02D51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32"/>
        <w:gridCol w:w="1843"/>
        <w:gridCol w:w="1843"/>
        <w:gridCol w:w="1559"/>
        <w:gridCol w:w="1559"/>
        <w:gridCol w:w="1524"/>
      </w:tblGrid>
      <w:tr w:rsidR="002A2715" w:rsidTr="002A2715">
        <w:tc>
          <w:tcPr>
            <w:tcW w:w="6232" w:type="dxa"/>
            <w:vMerge w:val="restart"/>
            <w:vAlign w:val="center"/>
          </w:tcPr>
          <w:p w:rsidR="002A2715" w:rsidRDefault="002A2715" w:rsidP="002A2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328" w:type="dxa"/>
            <w:gridSpan w:val="5"/>
          </w:tcPr>
          <w:p w:rsidR="002A2715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2A2715" w:rsidTr="002A2715">
        <w:tc>
          <w:tcPr>
            <w:tcW w:w="6232" w:type="dxa"/>
            <w:vMerge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24" w:type="dxa"/>
          </w:tcPr>
          <w:p w:rsidR="002A2715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02D51" w:rsidTr="00882CEB">
        <w:tc>
          <w:tcPr>
            <w:tcW w:w="6232" w:type="dxa"/>
          </w:tcPr>
          <w:p w:rsidR="00A02D51" w:rsidRPr="002A2715" w:rsidRDefault="002A2715" w:rsidP="002A2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 xml:space="preserve">Освобождение площади от борщевика Сосновского всего (га), в том числе:           </w:t>
            </w:r>
          </w:p>
        </w:tc>
        <w:tc>
          <w:tcPr>
            <w:tcW w:w="1843" w:type="dxa"/>
            <w:vAlign w:val="center"/>
          </w:tcPr>
          <w:p w:rsidR="00A02D51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02D51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559" w:type="dxa"/>
            <w:vAlign w:val="center"/>
          </w:tcPr>
          <w:p w:rsidR="00A02D51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59" w:type="dxa"/>
            <w:vAlign w:val="center"/>
          </w:tcPr>
          <w:p w:rsidR="00A02D51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4" w:type="dxa"/>
            <w:vAlign w:val="center"/>
          </w:tcPr>
          <w:p w:rsidR="00A02D51" w:rsidRDefault="002A2715" w:rsidP="0088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A02D51" w:rsidTr="002A2715">
        <w:tc>
          <w:tcPr>
            <w:tcW w:w="6232" w:type="dxa"/>
          </w:tcPr>
          <w:p w:rsidR="00A02D51" w:rsidRPr="002A2715" w:rsidRDefault="002A2715" w:rsidP="002A2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>Механический метод обработки</w:t>
            </w:r>
          </w:p>
        </w:tc>
        <w:tc>
          <w:tcPr>
            <w:tcW w:w="1843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2D51" w:rsidTr="002A2715">
        <w:tc>
          <w:tcPr>
            <w:tcW w:w="6232" w:type="dxa"/>
          </w:tcPr>
          <w:p w:rsidR="00A02D51" w:rsidRPr="002A2715" w:rsidRDefault="002A2715" w:rsidP="00882C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715">
              <w:rPr>
                <w:sz w:val="28"/>
                <w:szCs w:val="28"/>
              </w:rPr>
              <w:t xml:space="preserve">Химический метод </w:t>
            </w:r>
            <w:bookmarkStart w:id="0" w:name="_GoBack"/>
            <w:bookmarkEnd w:id="0"/>
            <w:r w:rsidRPr="002A2715">
              <w:rPr>
                <w:sz w:val="28"/>
                <w:szCs w:val="28"/>
              </w:rPr>
              <w:t>обработки</w:t>
            </w:r>
          </w:p>
        </w:tc>
        <w:tc>
          <w:tcPr>
            <w:tcW w:w="1843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559" w:type="dxa"/>
          </w:tcPr>
          <w:p w:rsidR="00A02D51" w:rsidRDefault="002A2715" w:rsidP="002A27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59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4" w:type="dxa"/>
          </w:tcPr>
          <w:p w:rsidR="00A02D51" w:rsidRDefault="002A2715" w:rsidP="007613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</w:tbl>
    <w:p w:rsidR="00A02D51" w:rsidRPr="00CF0D63" w:rsidRDefault="00A02D51" w:rsidP="00761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314" w:rsidRPr="00CF0D63" w:rsidRDefault="00761314" w:rsidP="00761314">
      <w:pPr>
        <w:autoSpaceDE w:val="0"/>
        <w:autoSpaceDN w:val="0"/>
        <w:adjustRightInd w:val="0"/>
        <w:jc w:val="center"/>
      </w:pPr>
    </w:p>
    <w:p w:rsidR="00761314" w:rsidRDefault="00761314" w:rsidP="00761314"/>
    <w:p w:rsidR="00761314" w:rsidRDefault="00761314" w:rsidP="00761314"/>
    <w:p w:rsidR="00761314" w:rsidRDefault="00761314" w:rsidP="00761314">
      <w:pPr>
        <w:rPr>
          <w:sz w:val="18"/>
          <w:szCs w:val="18"/>
        </w:rPr>
      </w:pPr>
    </w:p>
    <w:p w:rsidR="00761314" w:rsidRDefault="00761314" w:rsidP="00761314"/>
    <w:p w:rsidR="003A497F" w:rsidRDefault="003A497F" w:rsidP="002A2715">
      <w:pPr>
        <w:pStyle w:val="af"/>
        <w:rPr>
          <w:rStyle w:val="ae"/>
        </w:rPr>
        <w:sectPr w:rsidR="003A497F" w:rsidSect="00761314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761314" w:rsidRDefault="00761314" w:rsidP="002A2715"/>
    <w:sectPr w:rsidR="00761314" w:rsidSect="000A7857">
      <w:headerReference w:type="even" r:id="rId11"/>
      <w:headerReference w:type="default" r:id="rId12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91" w:rsidRDefault="00396591" w:rsidP="005153B6">
      <w:r>
        <w:separator/>
      </w:r>
    </w:p>
  </w:endnote>
  <w:endnote w:type="continuationSeparator" w:id="0">
    <w:p w:rsidR="00396591" w:rsidRDefault="00396591" w:rsidP="005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7F" w:rsidRDefault="003A497F" w:rsidP="00B9289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97F" w:rsidRDefault="003A497F" w:rsidP="00B9289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7F" w:rsidRDefault="003A497F" w:rsidP="00B92899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C85">
      <w:rPr>
        <w:rStyle w:val="a5"/>
        <w:noProof/>
      </w:rPr>
      <w:t>6</w:t>
    </w:r>
    <w:r>
      <w:rPr>
        <w:rStyle w:val="a5"/>
      </w:rPr>
      <w:fldChar w:fldCharType="end"/>
    </w:r>
  </w:p>
  <w:p w:rsidR="003A497F" w:rsidRDefault="003A497F" w:rsidP="00B9289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91" w:rsidRDefault="00396591" w:rsidP="005153B6">
      <w:r>
        <w:separator/>
      </w:r>
    </w:p>
  </w:footnote>
  <w:footnote w:type="continuationSeparator" w:id="0">
    <w:p w:rsidR="00396591" w:rsidRDefault="00396591" w:rsidP="005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D" w:rsidRDefault="00557F2A" w:rsidP="00B40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2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4D" w:rsidRDefault="00396591" w:rsidP="000A785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4D" w:rsidRDefault="00557F2A" w:rsidP="00B40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2E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715">
      <w:rPr>
        <w:rStyle w:val="a5"/>
        <w:noProof/>
      </w:rPr>
      <w:t>6</w:t>
    </w:r>
    <w:r>
      <w:rPr>
        <w:rStyle w:val="a5"/>
      </w:rPr>
      <w:fldChar w:fldCharType="end"/>
    </w:r>
  </w:p>
  <w:p w:rsidR="00DB5A4D" w:rsidRDefault="00396591" w:rsidP="000A78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6"/>
    <w:rsid w:val="00067F31"/>
    <w:rsid w:val="000D22E4"/>
    <w:rsid w:val="000D315F"/>
    <w:rsid w:val="001424A0"/>
    <w:rsid w:val="001452FF"/>
    <w:rsid w:val="002A2715"/>
    <w:rsid w:val="002A62CE"/>
    <w:rsid w:val="002A6BCB"/>
    <w:rsid w:val="00396591"/>
    <w:rsid w:val="003A497F"/>
    <w:rsid w:val="003C78E5"/>
    <w:rsid w:val="003E4391"/>
    <w:rsid w:val="00464692"/>
    <w:rsid w:val="004677D6"/>
    <w:rsid w:val="0049666D"/>
    <w:rsid w:val="005153B6"/>
    <w:rsid w:val="00557F2A"/>
    <w:rsid w:val="00564148"/>
    <w:rsid w:val="00761314"/>
    <w:rsid w:val="00764271"/>
    <w:rsid w:val="00882CEB"/>
    <w:rsid w:val="00895ADD"/>
    <w:rsid w:val="0096697B"/>
    <w:rsid w:val="0097565C"/>
    <w:rsid w:val="00997BFA"/>
    <w:rsid w:val="00A009A1"/>
    <w:rsid w:val="00A02D51"/>
    <w:rsid w:val="00AE0230"/>
    <w:rsid w:val="00AE0C85"/>
    <w:rsid w:val="00AE6C17"/>
    <w:rsid w:val="00BB7F03"/>
    <w:rsid w:val="00C00CD3"/>
    <w:rsid w:val="00C02EB7"/>
    <w:rsid w:val="00C1184E"/>
    <w:rsid w:val="00C3287A"/>
    <w:rsid w:val="00C90BC9"/>
    <w:rsid w:val="00CF551A"/>
    <w:rsid w:val="00D402B6"/>
    <w:rsid w:val="00DE0719"/>
    <w:rsid w:val="00E56C6B"/>
    <w:rsid w:val="00EB5A62"/>
    <w:rsid w:val="00F04C96"/>
    <w:rsid w:val="00FD04F3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0B3B"/>
  <w15:docId w15:val="{D443CF22-E9FA-4531-9315-B690CE2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77D6"/>
  </w:style>
  <w:style w:type="character" w:styleId="a6">
    <w:name w:val="Hyperlink"/>
    <w:basedOn w:val="a0"/>
    <w:semiHidden/>
    <w:rsid w:val="004677D6"/>
    <w:rPr>
      <w:color w:val="0000FF"/>
      <w:u w:val="single"/>
    </w:rPr>
  </w:style>
  <w:style w:type="paragraph" w:styleId="a7">
    <w:name w:val="Title"/>
    <w:basedOn w:val="a"/>
    <w:link w:val="a8"/>
    <w:qFormat/>
    <w:rsid w:val="004677D6"/>
    <w:pPr>
      <w:jc w:val="center"/>
    </w:pPr>
    <w:rPr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4677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4677D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Базовый"/>
    <w:uiPriority w:val="99"/>
    <w:rsid w:val="004677D6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c">
    <w:name w:val="Body Text"/>
    <w:basedOn w:val="a"/>
    <w:link w:val="ad"/>
    <w:unhideWhenUsed/>
    <w:rsid w:val="003C78E5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3C78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qFormat/>
    <w:rsid w:val="003A497F"/>
    <w:rPr>
      <w:b/>
      <w:bCs/>
    </w:rPr>
  </w:style>
  <w:style w:type="paragraph" w:styleId="af">
    <w:name w:val="Normal (Web)"/>
    <w:basedOn w:val="a"/>
    <w:rsid w:val="003A497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A49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3A4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A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A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9D8B-0C1C-4A17-B86D-7F1A5629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Анатольевна</cp:lastModifiedBy>
  <cp:revision>3</cp:revision>
  <cp:lastPrinted>2019-02-18T06:51:00Z</cp:lastPrinted>
  <dcterms:created xsi:type="dcterms:W3CDTF">2019-02-18T05:36:00Z</dcterms:created>
  <dcterms:modified xsi:type="dcterms:W3CDTF">2019-02-18T06:52:00Z</dcterms:modified>
</cp:coreProperties>
</file>